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4 vom 21. März 2024</w:t>
      </w:r>
    </w:p>
    <w:p>
      <w:r>
        <w:t>VS Kantonsgericht, 2024-03-21, FR</w:t>
      </w:r>
    </w:p>
    <w:p>
      <w:r>
        <w:rPr>
          <w:b/>
        </w:rPr>
        <w:t xml:space="preserve">Quelle: </w:t>
      </w:r>
      <w:r>
        <w:t>https://mcp.opencaselaw.ch/entscheid/vs_gerichte_S1 22 4</w:t>
      </w:r>
    </w:p>
    <w:p>
      <w:r>
        <w:t>FR: VS_GERICHTE S1 22 4 du 21 mars 2024</w:t>
      </w:r>
    </w:p>
    <w:p>
      <w:r>
        <w:t>IT: VS_GERICHTE S1 22 4 del 21 marzo 2024</w:t>
      </w:r>
    </w:p>
    <w:p>
      <w:pPr>
        <w:pStyle w:val="Heading2"/>
      </w:pPr>
      <w:r>
        <w:t>Regeste</w:t>
      </w:r>
    </w:p>
    <w:p>
      <w:r>
        <w:t>S1 22 4 ARRÊT DU 21 MARS 2024 Tribunal cantonal du Valais Cour des assurances sociales Composition : Candido Prada, président ; Jean-Bernard Fournier et Christophe Joris, juges ; Simon Hausammann, greffier en la cause X _________, recourant, représenté par Maître Guillaume Grand, avocat, Sion contre OFFICE CANTONAL AI DU VALAIS, intimé (art. 43 et 44 aLPGA ; valeur probante d’une expertise psychiatrique)</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6 janvier 2022 (date du cachet postal), puis complété le 25 mars 2022, le présent recours à l'encontre de la décision du 13 décembre 2021 a été interjeté dans le délai légal de trente jours compte tenu des féries de fin d’année (art. 38 al. 4 et 60 LPGA) et</w:t>
      </w:r>
    </w:p>
    <w:p>
      <w:r>
        <w:t>- 7 -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et 138 V 176 consid. 7.1 ; arrêt du Tribunal fédéral 9C_881/2018 du 6 mars 2019 consid. 4.1).</w:t>
      </w:r>
    </w:p>
    <w:p>
      <w:r>
        <w:rPr>
          <w:b/>
        </w:rPr>
        <w:t>E. 2</w:t>
      </w:r>
    </w:p>
    <w:p>
      <w:r>
        <w:t>Le litige porte sur le droit du recourant à des prestations AI. Plus particulièrement, celui-ci remet en cause la valeur probante de l’expertise psychiatrique sur laquelle l’OAI s’est fondé pour lui reconnaître une pleine capacité de travail.</w:t>
      </w:r>
    </w:p>
    <w:p>
      <w:r>
        <w:rPr>
          <w:b/>
        </w:rPr>
        <w:t>E. 2.1</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w:t>
      </w:r>
    </w:p>
    <w:p>
      <w:r>
        <w:t>- 8 -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 rapport du SMR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Le Tribunal fédéral n'exclut cependant pas que l'assurance- 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(arrêts du Tribunal fédéral 9C_711/2010 du 18 mai 2011 consid. 4.3, 9C_766/2009 du 12 mars 2010 consid. 2.2, 8C_4/2010 du</w:t>
      </w:r>
    </w:p>
    <w:p>
      <w:r>
        <w:t>- 9 - 29 novembre 2010 consid. 4.1 et les références ; arrêts du Tribunal administratif fédéral C-3486/2014 du 17 mai 2017 consid. 8.2 et C-6371/2011 du 21 août 2013).</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w:t>
      </w:r>
    </w:p>
    <w:p>
      <w:r>
        <w:t>- 10 - exigences de forme et de fond posées pour la valeur probante d’une expertise médicale (arrêt du Tribunal fédéral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est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2.4</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w:t>
      </w:r>
    </w:p>
    <w:p>
      <w:r>
        <w:t>- 11 -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3</w:t>
      </w:r>
    </w:p>
    <w:p>
      <w:r>
        <w:t>Dans le cas d’espèce, l’OAI a estimé que, depuis le 1er janvier 2021, le recourant ne souffrait d’aucun trouble psychique invalidant et qu’il était dès lors en mesure de reprendre son activité habituelle d’électricien. L’intéressé soutient en revanche que l’OAI n’aurait pas dû se baser sur l’expertise du Dr H _________ et l’avis du SMR, dans la mesure où leurs appréciations étaient contredites par celles de ses médecins traitants.</w:t>
      </w:r>
    </w:p>
    <w:p>
      <w:r>
        <w:rPr>
          <w:b/>
        </w:rPr>
        <w:t>E. 3.1</w:t>
      </w:r>
    </w:p>
    <w:p>
      <w:r>
        <w:t>Dans son rapport du 22 juillet 2021, l’expert a retenu que l’intéressé souffrait de troubles non invalidants sous la forme d’une dysthymie, de troubles liés à l’utilisation d’alcool, de cocaïne et de cannabis, ainsi que d’une personnalité à traits passifs dépendants. A la lecture des pièces versées en cause et de son rapport d’expertise, rien ne laisse suggérer que son avis n’aurait pas été établi au terme d’une étude approfondie et sérieuse du dossier, en pleine connaissance de l’anamnèse et des plaintes du recourant. Selon le rapport d’expertise, l’examen du 16 mars 2021 a en outre duré deux heures de 10h30 à 12h30. Les griefs émis à cet égard par le recourant ne sont pas fondés, dès lors que l’expert a dû procéder à différents tests cliniques étendus et obtenir des informations détaillées sur le parcours de vie familial, personnel et professionnel du recourant afin de rédiger son expertise. Les nombreux détails décrits dans le chapitre</w:t>
      </w:r>
    </w:p>
    <w:p>
      <w:r>
        <w:rPr>
          <w:b/>
        </w:rPr>
        <w:t>E. 3.2</w:t>
      </w:r>
    </w:p>
    <w:p>
      <w:r>
        <w:t>Il revenait par conséquent au recourant d’apporter des éléments concrets, basés sur des pièces médicales, afin de démontrer que sa situation ne lui permettait pas de reprendre une activité professionnelle. Or, il ne fournit aucun élément qui n’aurait pas déjà été pris en compte par l’expert et le SMR.</w:t>
      </w:r>
    </w:p>
    <w:p>
      <w:r>
        <w:rPr>
          <w:b/>
        </w:rPr>
        <w:t>E. 3.2.1</w:t>
      </w:r>
    </w:p>
    <w:p>
      <w:r>
        <w:t>L’intéressé se base sur les avis du CCPP et de la Dresse D _________, en faisant grief à l’intimé de n’avoir pas du tout tenu compte de leur appréciation. La seule pièce figurant au dossier et attestant un suivi au CCPP est un rapport du 24 novembre 2020 de la Dresse E _________ (pièce OAI 44). Selon ce rapport, l’intéressé était vu à une fréquence mensuelle depuis le 29 juillet 2020 et sa symptomatologie prenait la forme d’une forte fatigabilité, d’une lassitude et d’une mauvaise estime de soi, ce qui ne diffère pas des observations faites par le Dr H _________. L’intervenante du CCPP n’a en outre pas observé de symptômes de la ligne psychotique ni d’idées noires ou suicidaires. A l’instar de l’expert, la Dresse E _________ a relevé que les troubles du sommeil étaient provoqués par un</w:t>
      </w:r>
    </w:p>
    <w:p>
      <w:r>
        <w:t>- 13 - rythme nycthéméral inversé et que les limitations (lassitude, mauvaise estime de soi, difficultés à faire des démarches professionnelles) étaient accentuées par la consommation de substances, ce qui peut dès lors être traité par une abstinence contrôlée ainsi que par la récupération d’un rythme normal. Selon elle, le pronostic était favorable à moyen terme avec une reprise du travail envisagée à 100% de manière progressive. On relève au demeurant qu’aucun traitement médicamenteux n’avait été instauré (cf. pièce OAI 44). On peine dès lors à voir dans quelle mesure son avis pourrait remettre en doute les conclusions motivées de l’expert. La Dresse E _________ n’a pas fait état de troubles invalidants ou d’une intensité telle qu’un traitement médicamenteux aurait dû être instauré, et a relevé que son patient avait conservé des ressources, en plus d’être soutenu par Addiction Valais, si bien que le pronostic était favorable. Le fait qu’elle retient un diagnostic différent de celui posé par l’expert, soit un épisode dépressif moyen avec syndrome somatique (F32.1) en opposition à une dysthymie (F34.1), est sans pertinence dès lors que c’est la conséquence de l’atteinte sur la capacité de travail qui est déterminante et non la simple mention d’un diagnostic (ATF 140 V 193 consid. 3.1). Poser le diagnostic d’épisode dépressif moyen ne suffit pas à justifier une incapacité de travail comme le souhaiterait l’intéressé. Encore faut-il examiner la gravité de l’atteinte au moyen des indicateurs jurisprudentiels, qu’il s’agisse d’une dysthymie ou d’une dépression. Or, après avoir appliqué la procédure probatoire structurée sur la base des observations de l’expert, le SMR a établi de manière convaincante qu’il n’existait pas d’atteinte psychique grave, que l’intéressé ne manquait pas de ressources, que son contexte social était soutenant, qu’il n’avait pas de limitations uniformes dans les activités de la vie quotidienne et que le traitement suivi n’avait que peu d’impact au vu de la relative motivation dont faisait preuve le recourant (cf. rapport final du 26 octobre 2021 ; pièce OAI 70). A cet égard, on note que ce dernier ne critique nullement l’appréciation du SMR, ni ne démontre que ses troubles rempliraient les critères de gravité pour leur reconnaître un caractère invalidant. Quant à la Dresse D _________, son rapport du 22 décembre 2021 se limite à mentionner que son traitement s’était poursuivi durant l’année 2020 et 2021 et que son patient souffrait d’une dépression sévère rendant impossible la reprise d’une profession. Son avis, non spécialisé en psychiatrie et basé sur aucun examen clinique qui permettrait de justifier la gravité de ce qu’elle décrit, constitue ainsi une opinion divergente de celle de l’expert quant à l’importance des atteintes de son patient et de leur répercussion sur sa capacité de travail résiduelle. Elle ne fournit du reste pas la moindre pièce qui attesterait qu’un suivi auprès du CCPP se serait maintenu en 2021. Dès lors que le recourant entendait contester la valeur probante de l’expertise du</w:t>
      </w:r>
    </w:p>
    <w:p>
      <w:r>
        <w:t>- 14 - Dr H _________, il lui revenait de produire toutes les pièces médicales susceptibles de conduire à une appréciation divergente. L’avis de cette généraliste ne saurait par conséquent pas suffire.</w:t>
      </w:r>
    </w:p>
    <w:p>
      <w:r>
        <w:rPr>
          <w:b/>
        </w:rPr>
        <w:t>E. 3.2.2</w:t>
      </w:r>
    </w:p>
    <w:p>
      <w:r>
        <w:t>Concernant la date de reprise d’une activité lucrative, fixée au 1er janvier 2021, l’expert a expliqué que la symptomatologie dépressive n’était plus au premier plan lors de son examen du 16 mars 2021 et a estimé, au vu des éléments anamnestiques et du tableau clinique, que la situation s’était déjà améliorée depuis le début d’année (cf. pièce OAI 66). Cette appréciation n’est pas contredite par un autre élément du dossier et concorde en outre avec l’avis du CCPP qui qualifiait, lors de sa dernière consultation du 2 novembre 2020, le pronostic de favorable à moyen terme. Aucune raison objective ne permet ainsi de s’en distancer.</w:t>
      </w:r>
    </w:p>
    <w:p>
      <w:r>
        <w:rPr>
          <w:b/>
        </w:rPr>
        <w:t>E. 3.3</w:t>
      </w:r>
    </w:p>
    <w:p>
      <w:r>
        <w:t>Au vu de ce qui précède, les éléments soulevés par le recourant ne permettent pas de remettre en doute la valeur probante de l’avis du SMR et de l’expertise du Dr H _________. Le dossier comprenait du reste des appréciations établissant précisément les faits sur le plan médical, en définissant clairement les séquelles de l’intéressé et sa capacité de travail résiduelle, de sorte que l’OAI pouvait rendre sa décision sans ordonner une mesure d’instruction complémentaire. Aussi, en l’absence d’avis médical probant venant contester les conclusions de l’expert, il ne se justifie pas d’ordonner la mise en œuvre d’une expertise psychiatrique telle que souhaitée par le recourant, ni son interrogatoire (appréciation anticipée des moyens de preuve : ATF 145 I 167 consid. 4.1, 144 II 427 consid. 3.1.3 et 141 I 60 consid. 3.3). Il convient par conséquent de confirmer la décision querellée du 13 décembre 2021 et de rejeter le recours du 6 janvier 2022.</w:t>
      </w:r>
    </w:p>
    <w:p>
      <w:r>
        <w:rPr>
          <w:b/>
        </w:rPr>
        <w:t>E. 4.1</w:t>
      </w:r>
    </w:p>
    <w:p>
      <w:r>
        <w:t>La procédure de recours en matière de contestations portant sur l’octroi ou le refus de prestations de l'assurance-invalidité devant le tribunal cantonal des assurances est soumise à des frais judiciaires (art. 61 let. fbis LPGA et art. 69 al. 1bis LAI). Eu égard à l’issue de la cause, les frais de justice arrêtés à 500 fr., sur le vu notamment des principes de la couverture des frais et de l’équivalence des prestations, sont mis à la charge du recourant qui succombe. Cette somme est compensée par l’avance de frais d’un montant équivalent déjà consentie.</w:t>
      </w:r>
    </w:p>
    <w:p>
      <w:r>
        <w:rPr>
          <w:b/>
        </w:rPr>
        <w:t>E. 4.2</w:t>
      </w:r>
    </w:p>
    <w:p>
      <w:r>
        <w:t>Vu l’issue de la cause, il n’est pas alloué de dépens au recourant (art. 61 let. g LPGA a contrario), ni à l’intimé, lequel agit comme autorité chargée de tâches de droit public (art. 91 al. 3 LPGA ; ATF 126 V 143 consid. 4).</w:t>
      </w:r>
    </w:p>
    <w:p>
      <w:r>
        <w:t>- 15 -</w:t>
      </w:r>
    </w:p>
    <w:p>
      <w:r>
        <w:t>Prononce</w:t>
      </w:r>
    </w:p>
    <w:p>
      <w:r>
        <w:t>1. Le recours est rejeté. 2. Les frais, par 500 francs, sont mis à la charge de X _________. 3. Il n’est pas alloué de dépens.</w:t>
      </w:r>
    </w:p>
    <w:p>
      <w:r>
        <w:t>Sion, le 21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